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</w:t>
      </w:r>
      <w:r>
        <w:rPr>
          <w:rFonts w:ascii="DINPro" w:hAnsi="DINPro" w:cs="DINPro"/>
          <w:sz w:val="18"/>
          <w:szCs w:val="18"/>
        </w:rPr>
        <w:t>исследования — изучить влияние выраженности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локальных кардиальных депо жировой ткани на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развитие пароксизмальной формы фибрилляции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предсердий (ФП) у пациентов с ишемической болезнью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сердца (ИБС) и артериальной </w:t>
      </w:r>
      <w:proofErr w:type="spellStart"/>
      <w:r>
        <w:rPr>
          <w:rFonts w:ascii="DINPro" w:hAnsi="DINPro" w:cs="DINPro"/>
          <w:sz w:val="18"/>
          <w:szCs w:val="18"/>
        </w:rPr>
        <w:t>гипертензей</w:t>
      </w:r>
      <w:proofErr w:type="spellEnd"/>
      <w:r>
        <w:rPr>
          <w:rFonts w:ascii="DINPro" w:hAnsi="DINPro" w:cs="DINPro"/>
          <w:sz w:val="18"/>
          <w:szCs w:val="18"/>
        </w:rPr>
        <w:t xml:space="preserve"> (АГ).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>В исследование включено</w:t>
      </w:r>
      <w:r>
        <w:rPr>
          <w:rFonts w:ascii="DINPro" w:hAnsi="DINPro" w:cs="DINPro"/>
          <w:sz w:val="18"/>
          <w:szCs w:val="18"/>
        </w:rPr>
        <w:t xml:space="preserve"> 82 </w:t>
      </w:r>
      <w:r>
        <w:rPr>
          <w:rFonts w:ascii="DINPro" w:hAnsi="DINPro" w:cs="DINPro"/>
          <w:sz w:val="18"/>
          <w:szCs w:val="18"/>
        </w:rPr>
        <w:t>пациента (мужчин — 49, женщин — 33) с ИБС в воз-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расте</w:t>
      </w:r>
      <w:proofErr w:type="spellEnd"/>
      <w:r>
        <w:rPr>
          <w:rFonts w:ascii="DINPro" w:hAnsi="DINPro" w:cs="DINPro"/>
          <w:sz w:val="18"/>
          <w:szCs w:val="18"/>
        </w:rPr>
        <w:t xml:space="preserve"> 37–88 лет (средний возраст — 62 [60; 75] лет).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Пароксизмальная форма ФП была диагностирована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 27 пациентов, составивших контрольную группу.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Всем пациентам проведено исследование антропометрических показателей: индекса массы </w:t>
      </w:r>
      <w:proofErr w:type="spellStart"/>
      <w:proofErr w:type="gramStart"/>
      <w:r>
        <w:rPr>
          <w:rFonts w:ascii="DINPro" w:hAnsi="DINPro" w:cs="DINPro"/>
          <w:sz w:val="18"/>
          <w:szCs w:val="18"/>
        </w:rPr>
        <w:t>тела</w:t>
      </w:r>
      <w:r>
        <w:rPr>
          <w:rFonts w:ascii="DINPro" w:hAnsi="DINPro" w:cs="DINPro"/>
          <w:sz w:val="18"/>
          <w:szCs w:val="18"/>
        </w:rPr>
        <w:t>,</w:t>
      </w:r>
      <w:r>
        <w:rPr>
          <w:rFonts w:ascii="DINPro" w:hAnsi="DINPro" w:cs="DINPro"/>
          <w:sz w:val="18"/>
          <w:szCs w:val="18"/>
        </w:rPr>
        <w:t>окружности</w:t>
      </w:r>
      <w:proofErr w:type="spellEnd"/>
      <w:proofErr w:type="gramEnd"/>
      <w:r>
        <w:rPr>
          <w:rFonts w:ascii="DINPro" w:hAnsi="DINPro" w:cs="DINPro"/>
          <w:sz w:val="18"/>
          <w:szCs w:val="18"/>
        </w:rPr>
        <w:t xml:space="preserve"> талии, окружности бедер. Структурно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функциональное состояние миокарда оценивали методом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эхокардиографии (</w:t>
      </w:r>
      <w:proofErr w:type="spellStart"/>
      <w:r>
        <w:rPr>
          <w:rFonts w:ascii="DINPro" w:hAnsi="DINPro" w:cs="DINPro"/>
          <w:sz w:val="18"/>
          <w:szCs w:val="18"/>
        </w:rPr>
        <w:t>ЭхоКГ</w:t>
      </w:r>
      <w:proofErr w:type="spellEnd"/>
      <w:r>
        <w:rPr>
          <w:rFonts w:ascii="DINPro" w:hAnsi="DINPro" w:cs="DINPro"/>
          <w:sz w:val="18"/>
          <w:szCs w:val="18"/>
        </w:rPr>
        <w:t>).</w:t>
      </w:r>
    </w:p>
    <w:p w:rsidR="002274CB" w:rsidRP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Статистическую обработку данных проводили с помощью</w:t>
      </w:r>
      <w:r w:rsidRPr="002274CB"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программы</w:t>
      </w:r>
      <w:r w:rsidRPr="002274CB">
        <w:rPr>
          <w:rFonts w:ascii="DINPro" w:hAnsi="DINPro" w:cs="DINPro"/>
          <w:sz w:val="18"/>
          <w:szCs w:val="18"/>
        </w:rPr>
        <w:t xml:space="preserve"> </w:t>
      </w:r>
      <w:proofErr w:type="spellStart"/>
      <w:r w:rsidRPr="002274CB">
        <w:rPr>
          <w:rFonts w:ascii="DINPro" w:hAnsi="DINPro" w:cs="DINPro"/>
          <w:sz w:val="18"/>
          <w:szCs w:val="18"/>
          <w:lang w:val="en-US"/>
        </w:rPr>
        <w:t>MedCalc</w:t>
      </w:r>
      <w:proofErr w:type="spellEnd"/>
      <w:r w:rsidRPr="002274CB">
        <w:rPr>
          <w:rFonts w:ascii="DINPro" w:hAnsi="DINPro" w:cs="DINPro"/>
          <w:sz w:val="18"/>
          <w:szCs w:val="18"/>
        </w:rPr>
        <w:t xml:space="preserve">® </w:t>
      </w:r>
      <w:r w:rsidRPr="002274CB">
        <w:rPr>
          <w:rFonts w:ascii="DINPro" w:hAnsi="DINPro" w:cs="DINPro"/>
          <w:sz w:val="18"/>
          <w:szCs w:val="18"/>
          <w:lang w:val="en-US"/>
        </w:rPr>
        <w:t>Statistical</w:t>
      </w:r>
      <w:r w:rsidRPr="002274CB">
        <w:rPr>
          <w:rFonts w:ascii="DINPro" w:hAnsi="DINPro" w:cs="DINPro"/>
          <w:sz w:val="18"/>
          <w:szCs w:val="18"/>
        </w:rPr>
        <w:t xml:space="preserve"> </w:t>
      </w:r>
      <w:r w:rsidRPr="002274CB">
        <w:rPr>
          <w:rFonts w:ascii="DINPro" w:hAnsi="DINPro" w:cs="DINPro"/>
          <w:sz w:val="18"/>
          <w:szCs w:val="18"/>
          <w:lang w:val="en-US"/>
        </w:rPr>
        <w:t>Software</w:t>
      </w:r>
    </w:p>
    <w:p w:rsidR="002274CB" w:rsidRP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  <w:lang w:val="en-US"/>
        </w:rPr>
      </w:pPr>
      <w:proofErr w:type="gramStart"/>
      <w:r w:rsidRPr="002274CB">
        <w:rPr>
          <w:rFonts w:ascii="DINPro" w:hAnsi="DINPro" w:cs="DINPro"/>
          <w:sz w:val="18"/>
          <w:szCs w:val="18"/>
          <w:lang w:val="en-US"/>
        </w:rPr>
        <w:t>version</w:t>
      </w:r>
      <w:proofErr w:type="gramEnd"/>
      <w:r w:rsidRPr="002274CB">
        <w:rPr>
          <w:rFonts w:ascii="DINPro" w:hAnsi="DINPro" w:cs="DINPro"/>
          <w:sz w:val="18"/>
          <w:szCs w:val="18"/>
          <w:lang w:val="en-US"/>
        </w:rPr>
        <w:t xml:space="preserve"> 20.104 (</w:t>
      </w:r>
      <w:proofErr w:type="spellStart"/>
      <w:r w:rsidRPr="002274CB">
        <w:rPr>
          <w:rFonts w:ascii="DINPro" w:hAnsi="DINPro" w:cs="DINPro"/>
          <w:sz w:val="18"/>
          <w:szCs w:val="18"/>
          <w:lang w:val="en-US"/>
        </w:rPr>
        <w:t>MedCalc</w:t>
      </w:r>
      <w:proofErr w:type="spellEnd"/>
      <w:r w:rsidRPr="002274CB">
        <w:rPr>
          <w:rFonts w:ascii="DINPro" w:hAnsi="DINPro" w:cs="DINPro"/>
          <w:sz w:val="18"/>
          <w:szCs w:val="18"/>
          <w:lang w:val="en-US"/>
        </w:rPr>
        <w:t xml:space="preserve"> Software Ltd, Ostend, Belgium).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Характер распределения данных оценивали с помощью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критерия Колмогорова-Смирнова. В случае нормального распределения признака, данные представляли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в виде среднего значения (M) и </w:t>
      </w:r>
      <w:proofErr w:type="spellStart"/>
      <w:r>
        <w:rPr>
          <w:rFonts w:ascii="DINPro" w:hAnsi="DINPro" w:cs="DINPro"/>
          <w:sz w:val="18"/>
          <w:szCs w:val="18"/>
        </w:rPr>
        <w:t>квадратического</w:t>
      </w:r>
      <w:proofErr w:type="spellEnd"/>
      <w:r>
        <w:rPr>
          <w:rFonts w:ascii="DINPro" w:hAnsi="DINPro" w:cs="DINPro"/>
          <w:sz w:val="18"/>
          <w:szCs w:val="18"/>
        </w:rPr>
        <w:t xml:space="preserve"> отклонения (SD). Непараметрические показатели представлены медианой и </w:t>
      </w:r>
      <w:proofErr w:type="spellStart"/>
      <w:r>
        <w:rPr>
          <w:rFonts w:ascii="DINPro" w:hAnsi="DINPro" w:cs="DINPro"/>
          <w:sz w:val="18"/>
          <w:szCs w:val="18"/>
        </w:rPr>
        <w:t>интерквартильным</w:t>
      </w:r>
      <w:proofErr w:type="spellEnd"/>
      <w:r>
        <w:rPr>
          <w:rFonts w:ascii="DINPro" w:hAnsi="DINPro" w:cs="DINPro"/>
          <w:sz w:val="18"/>
          <w:szCs w:val="18"/>
        </w:rPr>
        <w:t xml:space="preserve"> интервалом</w:t>
      </w:r>
      <w:r>
        <w:rPr>
          <w:rFonts w:ascii="DINPro" w:hAnsi="DINPro" w:cs="DINPro"/>
          <w:sz w:val="18"/>
          <w:szCs w:val="18"/>
        </w:rPr>
        <w:t xml:space="preserve"> (</w:t>
      </w:r>
      <w:proofErr w:type="spellStart"/>
      <w:proofErr w:type="gramStart"/>
      <w:r>
        <w:rPr>
          <w:rFonts w:ascii="DINPro" w:hAnsi="DINPro" w:cs="DINPro"/>
          <w:sz w:val="18"/>
          <w:szCs w:val="18"/>
        </w:rPr>
        <w:t>Me</w:t>
      </w:r>
      <w:proofErr w:type="spellEnd"/>
      <w:r>
        <w:rPr>
          <w:rFonts w:ascii="DINPro" w:hAnsi="DINPro" w:cs="DINPro"/>
          <w:sz w:val="18"/>
          <w:szCs w:val="18"/>
        </w:rPr>
        <w:t>[</w:t>
      </w:r>
      <w:proofErr w:type="gramEnd"/>
      <w:r>
        <w:rPr>
          <w:rFonts w:ascii="DINPro" w:hAnsi="DINPro" w:cs="DINPro"/>
          <w:sz w:val="18"/>
          <w:szCs w:val="18"/>
        </w:rPr>
        <w:t>Q</w:t>
      </w:r>
      <w:r>
        <w:rPr>
          <w:rFonts w:ascii="DINPro" w:hAnsi="DINPro" w:cs="DINPro"/>
          <w:sz w:val="10"/>
          <w:szCs w:val="10"/>
        </w:rPr>
        <w:t>25</w:t>
      </w:r>
      <w:r>
        <w:rPr>
          <w:rFonts w:ascii="DINPro" w:hAnsi="DINPro" w:cs="DINPro"/>
          <w:sz w:val="18"/>
          <w:szCs w:val="18"/>
        </w:rPr>
        <w:t>; Q</w:t>
      </w:r>
      <w:r>
        <w:rPr>
          <w:rFonts w:ascii="DINPro" w:hAnsi="DINPro" w:cs="DINPro"/>
          <w:sz w:val="10"/>
          <w:szCs w:val="10"/>
        </w:rPr>
        <w:t>75</w:t>
      </w:r>
      <w:r>
        <w:rPr>
          <w:rFonts w:ascii="DINPro" w:hAnsi="DINPro" w:cs="DINPro"/>
          <w:sz w:val="18"/>
          <w:szCs w:val="18"/>
        </w:rPr>
        <w:t>]). Взаимосвязь двух количественных признаков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оценивали с помощью корреляционного анализа по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Спирмену</w:t>
      </w:r>
      <w:proofErr w:type="spellEnd"/>
      <w:r>
        <w:rPr>
          <w:rFonts w:ascii="DINPro" w:hAnsi="DINPro" w:cs="DINPro"/>
          <w:sz w:val="18"/>
          <w:szCs w:val="18"/>
        </w:rPr>
        <w:t xml:space="preserve"> (r). Для определения порогового значения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исследуемого признака проводили ROC-анализ. Для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оценки возможности прогнозирования риска развития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ФП применялся метод бинарной логистической регрессии. Различия считали статистически значимыми при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p&lt;0,05.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>Выявлена корреляционная связь толщины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межпредсердной</w:t>
      </w:r>
      <w:proofErr w:type="spellEnd"/>
      <w:r>
        <w:rPr>
          <w:rFonts w:ascii="DINPro" w:hAnsi="DINPro" w:cs="DINPro"/>
          <w:sz w:val="18"/>
          <w:szCs w:val="18"/>
        </w:rPr>
        <w:t xml:space="preserve"> перегородки (МПП) с окружностью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талии (r=0,5; p=0,0003), с окружностью бедер</w:t>
      </w:r>
      <w:r>
        <w:rPr>
          <w:rFonts w:ascii="DINPro" w:hAnsi="DINPro" w:cs="DINPro"/>
          <w:sz w:val="18"/>
          <w:szCs w:val="18"/>
        </w:rPr>
        <w:t xml:space="preserve"> (r=0,6; </w:t>
      </w:r>
      <w:proofErr w:type="gramStart"/>
      <w:r>
        <w:rPr>
          <w:rFonts w:ascii="DINPro" w:hAnsi="DINPro" w:cs="DINPro"/>
          <w:sz w:val="18"/>
          <w:szCs w:val="18"/>
        </w:rPr>
        <w:t>p&lt; 0</w:t>
      </w:r>
      <w:proofErr w:type="gramEnd"/>
      <w:r>
        <w:rPr>
          <w:rFonts w:ascii="DINPro" w:hAnsi="DINPro" w:cs="DINPro"/>
          <w:sz w:val="18"/>
          <w:szCs w:val="18"/>
        </w:rPr>
        <w:t xml:space="preserve">,0001) и толщиной </w:t>
      </w:r>
      <w:proofErr w:type="spellStart"/>
      <w:r>
        <w:rPr>
          <w:rFonts w:ascii="DINPro" w:hAnsi="DINPro" w:cs="DINPro"/>
          <w:sz w:val="18"/>
          <w:szCs w:val="18"/>
        </w:rPr>
        <w:t>эпикардиального</w:t>
      </w:r>
      <w:proofErr w:type="spellEnd"/>
      <w:r>
        <w:rPr>
          <w:rFonts w:ascii="DINPro" w:hAnsi="DINPro" w:cs="DINPro"/>
          <w:sz w:val="18"/>
          <w:szCs w:val="18"/>
        </w:rPr>
        <w:t xml:space="preserve"> жира (ЭЖ)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(r=0,7; p&lt;0,0001). </w:t>
      </w:r>
      <w:r>
        <w:rPr>
          <w:rFonts w:ascii="DINPro" w:hAnsi="DINPro" w:cs="DINPro"/>
          <w:sz w:val="18"/>
          <w:szCs w:val="18"/>
        </w:rPr>
        <w:t xml:space="preserve">Был проведен ROC-анализ, показавший, что толщина </w:t>
      </w:r>
      <w:proofErr w:type="gramStart"/>
      <w:r>
        <w:rPr>
          <w:rFonts w:ascii="DINPro" w:hAnsi="DINPro" w:cs="DINPro"/>
          <w:sz w:val="18"/>
          <w:szCs w:val="18"/>
        </w:rPr>
        <w:t>МПП &gt;</w:t>
      </w:r>
      <w:proofErr w:type="gramEnd"/>
      <w:r>
        <w:rPr>
          <w:rFonts w:ascii="DINPro" w:hAnsi="DINPro" w:cs="DINPro"/>
          <w:sz w:val="18"/>
          <w:szCs w:val="18"/>
        </w:rPr>
        <w:t xml:space="preserve"> 0,7 см (p&lt;0,001) и толщина ЭЖ &gt; 0,6 см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(p &lt; 0,001) свидетельствуют о наличии пароксизмальной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формы ФП.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Определение пороговых значений толщины МПП и ЭЖ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отдельно среди мужчин и женщин с учетом наличия /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отсутствия абдоминального ожирения показало, что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 мужчин без абдоминального ожирения толщина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gramStart"/>
      <w:r>
        <w:rPr>
          <w:rFonts w:ascii="DINPro" w:hAnsi="DINPro" w:cs="DINPro"/>
          <w:sz w:val="18"/>
          <w:szCs w:val="18"/>
        </w:rPr>
        <w:t>МПП &gt;</w:t>
      </w:r>
      <w:proofErr w:type="gramEnd"/>
      <w:r>
        <w:rPr>
          <w:rFonts w:ascii="DINPro" w:hAnsi="DINPro" w:cs="DINPro"/>
          <w:sz w:val="18"/>
          <w:szCs w:val="18"/>
        </w:rPr>
        <w:t xml:space="preserve"> 0,5 см и толщина ЭЖ &gt;0,7 см, а также толщина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МПП &gt; 0,7 см у мужчин с абдоминальным ожирением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обладают высокой диагностической ценностью для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определения вероятности развития ФП.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 xml:space="preserve">Толщина </w:t>
      </w:r>
      <w:proofErr w:type="spellStart"/>
      <w:r>
        <w:rPr>
          <w:rFonts w:ascii="DINPro" w:hAnsi="DINPro" w:cs="DINPro"/>
          <w:sz w:val="18"/>
          <w:szCs w:val="18"/>
        </w:rPr>
        <w:t>эпикардиальной</w:t>
      </w:r>
      <w:proofErr w:type="spellEnd"/>
      <w:r>
        <w:rPr>
          <w:rFonts w:ascii="DINPro" w:hAnsi="DINPro" w:cs="DINPro"/>
          <w:sz w:val="18"/>
          <w:szCs w:val="18"/>
        </w:rPr>
        <w:t xml:space="preserve"> жировой ткани &gt;0,6 см (p </w:t>
      </w:r>
      <w:proofErr w:type="gramStart"/>
      <w:r>
        <w:rPr>
          <w:rFonts w:ascii="DINPro" w:hAnsi="DINPro" w:cs="DINPro"/>
          <w:sz w:val="18"/>
          <w:szCs w:val="18"/>
        </w:rPr>
        <w:t>&lt; 0</w:t>
      </w:r>
      <w:proofErr w:type="gramEnd"/>
      <w:r>
        <w:rPr>
          <w:rFonts w:ascii="DINPro" w:hAnsi="DINPro" w:cs="DINPro"/>
          <w:sz w:val="18"/>
          <w:szCs w:val="18"/>
        </w:rPr>
        <w:t>,001) и толщина МПП &gt; 0,6 см (p &lt; 0,001)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могут служить маркерами наличия ФП у пациентов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 ИБС, а определение толщины ЭЖ и толщины МПП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 xml:space="preserve">в совокупности с измерением окружности талии </w:t>
      </w:r>
      <w:r>
        <w:rPr>
          <w:rFonts w:ascii="DINPro" w:hAnsi="DINPro" w:cs="DINPro"/>
          <w:sz w:val="16"/>
          <w:szCs w:val="16"/>
        </w:rPr>
        <w:t>м</w:t>
      </w:r>
      <w:r>
        <w:rPr>
          <w:rFonts w:ascii="DINPro" w:hAnsi="DINPro" w:cs="DINPro"/>
          <w:sz w:val="18"/>
          <w:szCs w:val="18"/>
        </w:rPr>
        <w:t>огут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служить в качестве прогностических критериев риска</w:t>
      </w:r>
    </w:p>
    <w:p w:rsid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ФП у мужчин с ИБС (значимость модели</w:t>
      </w:r>
      <w:r>
        <w:rPr>
          <w:rFonts w:ascii="DINPro" w:hAnsi="DINPro" w:cs="DINPro"/>
          <w:sz w:val="18"/>
          <w:szCs w:val="18"/>
        </w:rPr>
        <w:t xml:space="preserve"> p = 0,0062). </w:t>
      </w:r>
      <w:r>
        <w:rPr>
          <w:rFonts w:ascii="DINPro" w:hAnsi="DINPro" w:cs="DINPro"/>
          <w:sz w:val="18"/>
          <w:szCs w:val="18"/>
        </w:rPr>
        <w:t>Таким образом, оценка толщины МПП и ЭЖ у пациентов</w:t>
      </w:r>
    </w:p>
    <w:p w:rsidR="006E6CB2" w:rsidRPr="002274CB" w:rsidRDefault="002274CB" w:rsidP="002274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 ИБС может быть рекомендована к определению при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проведении </w:t>
      </w:r>
      <w:proofErr w:type="spellStart"/>
      <w:r>
        <w:rPr>
          <w:rFonts w:ascii="DINPro" w:hAnsi="DINPro" w:cs="DINPro"/>
          <w:sz w:val="18"/>
          <w:szCs w:val="18"/>
        </w:rPr>
        <w:t>ЭхоКГ</w:t>
      </w:r>
      <w:proofErr w:type="spellEnd"/>
      <w:r>
        <w:rPr>
          <w:rFonts w:ascii="DINPro" w:hAnsi="DINPro" w:cs="DINPro"/>
          <w:sz w:val="18"/>
          <w:szCs w:val="18"/>
        </w:rPr>
        <w:t>.</w:t>
      </w:r>
    </w:p>
    <w:sectPr w:rsidR="006E6CB2" w:rsidRPr="0022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2274CB"/>
    <w:rsid w:val="006E6CB2"/>
    <w:rsid w:val="007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2023-09-12T08:16:00Z</dcterms:created>
  <dcterms:modified xsi:type="dcterms:W3CDTF">2023-09-12T08:16:00Z</dcterms:modified>
</cp:coreProperties>
</file>